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</w:t>
      </w:r>
      <w:r>
        <w:rPr>
          <w:rFonts w:hint="eastAsia" w:ascii="Times New Roman" w:hAnsi="Times New Roman" w:eastAsia="仿宋_GB2312" w:cs="仿宋_GB2312"/>
          <w:i w:val="0"/>
          <w:iCs w:val="0"/>
          <w:color w:val="000000"/>
          <w:sz w:val="44"/>
          <w:szCs w:val="44"/>
          <w:u w:val="none"/>
          <w:lang w:val="en-US" w:eastAsia="zh-CN"/>
        </w:rPr>
        <w:t>劳动人事争议仲裁院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2026年公开招聘编外聘用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  <w:bookmarkEnd w:id="0"/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西林县劳动人事争议仲裁院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1. 日常行政事务处理：负责股室文件收发、登记、归档与保管，确保文件流转规范；协助组织相关会议，包括会议通知、场地布置、纪要撰写。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2. 后勤保障服务：管理办公物资采购，保障办公设备（电脑、打印机等）正常运行，协调维修事宜。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3. 沟通协调工作：对接股室与各部门，传递信息、反馈需求，保障跨部门协作顺畅；对外联络企业单位、政府机构等，处理来访接待与咨询事宜。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4. 数据与报表支持：收集、整理办公相关数据，按要求填报各类统计表。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西林县劳动人事争议仲裁院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8687922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0F62EB"/>
    <w:rsid w:val="34160A21"/>
    <w:rsid w:val="34511234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0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Administrator</cp:lastModifiedBy>
  <cp:lastPrinted>2024-03-21T18:06:00Z</cp:lastPrinted>
  <dcterms:modified xsi:type="dcterms:W3CDTF">2026-02-25T10:16:51Z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0C58DBB1037547A6B73DCD7B5BE056CE</vt:lpwstr>
  </property>
</Properties>
</file>